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Hallsberg kommunfullmäktige</w:t>
      </w:r>
    </w:p>
    <w:p>
      <w:pPr>
        <w:pStyle w:val="Heading1"/>
      </w:pPr>
      <w:r>
        <w:t xml:space="preserve">Tryggare skolmiljö för HBTQI-elever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Hallsberg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Enligt Brå 2024 rapporterar unga HBTQI-personer högre utsatthet för kränkningar. Skolorna behöver stärka arbetet med inkludering och antidiskriminering.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Hallsberg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HBTQI-certifiering av alla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skolpersonal i normkritik årligen.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inrätta en elevstödsfunktion med HBTQI-kompetens.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trygghetsenkäter med åtgärdsplaner.</w:t>
      </w:r>
    </w:p>
    <w:p>
      <w:pPr>
        <w:spacing w:before="360"/>
      </w:pPr>
    </w:p>
    <w:p>
      <w:r>
        <w:t xml:space="preserve">Hallsberg,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Hallsberg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2026-07-14T03:15:55.397Z</dcterms:created>
  <dcterms:modified xsi:type="dcterms:W3CDTF">2026-07-14T03:15:55.397Z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